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128 II 335</w:t>
      </w:r>
    </w:p>
    <w:p>
      <w:r>
        <w:t>Bundesgericht (BGE), 1999-06-09, DE</w:t>
      </w:r>
    </w:p>
    <w:p>
      <w:r>
        <w:rPr>
          <w:b/>
        </w:rPr>
        <w:t xml:space="preserve">Quelle: </w:t>
      </w:r>
      <w:r>
        <w:t>https://mcp.opencaselaw.ch/entscheid/bge_128 II 335</w:t>
      </w:r>
    </w:p>
    <w:p>
      <w:r>
        <w:t>FR: ATF 128 II 335</w:t>
      </w:r>
    </w:p>
    <w:p>
      <w:r>
        <w:t>IT: DTF 128 II 335</w:t>
      </w:r>
    </w:p>
    <w:p>
      <w:pPr>
        <w:pStyle w:val="Heading2"/>
      </w:pPr>
      <w:r>
        <w:t>Regeste</w:t>
      </w:r>
    </w:p>
    <w:p>
      <w:r>
        <w:t>Regeste Art. 14 Abs. 2 lit. c, Art. 16 Abs. 1 und Art. 17 Abs. 1bis SVG; Art. 30 Abs. 1 VZV; Sicherungsentzug des Führerausweises, Drogen- und Alkoholmissbrauch im Strassenverkehr, Abklärung der Fahreignung. Ein die momentane Fahrfähigkeit beeinträchtigender kombinierter Konsum von Alkohol und verschiedenen Betäubungsmitteln kann Anlass bieten, die Fahreignung des Betroffenen durch ein Fachgutachten abklären zu lassen (E. 4c).</w:t>
      </w:r>
    </w:p>
    <w:p>
      <w:pPr>
        <w:pStyle w:val="Heading2"/>
      </w:pPr>
      <w:r>
        <w:t>Erwägungen</w:t>
      </w:r>
    </w:p>
    <w:p>
      <w:r>
        <w:rPr>
          <w:b/>
        </w:rPr>
        <w:t>E. 4</w:t>
      </w:r>
    </w:p>
    <w:p>
      <w:r>
        <w:t>a) Das Strassenverkehrs- und Schifffahrtsamt des Kantons Bern forderte den Beschwerdegegner am 7. Juni 2001 gestützt auf die Verzeigung wegen Führens eines Personenwagens unter Einfluss von Drogen sowie eventuell in angetrunkenem Zustand auf, innert zehn Tagen ein Arztzeugnis einzureichen, das sich zu seiner Fahreignung äussern sollte. Mit Schreiben vom 19. Juni 2001 bestätigte der Hausarzt, dass beim Beschwerdegegner keine Drogensucht vorliege; alle durchgeführten Urinproben - auch hinsichtlich Cannabis - hätten ein negatives Ergebnis gezeigt. Die Frage betreffend die Fahreignung des Beschwerdegegners liess er hingegen unbeantwortet. Nach Abschluss der strafrechtlichen Beurteilung verfügte die Administrativbehörde ohne weitere Abklärungen hinsichtlich der Fahreignung des Beschwerdegegners einen 15-monatigen Warnungsentzug. Diesen Entscheid schützte die Vorinstanz. b) Nach der Rechtsprechung erlaubt ein regelmässiger, aber kontrollierter und mässiger Haschischkonsum für sich allein noch nicht den Schluss auf eine fehlende Fahreignung ( BGE 127 II 122 E. 4b; BGE 124 II 559 E. 4d und e). Ob diese gegeben ist, kann ohne Angaben über die Konsumgewohnheiten des Betroffenen, namentlich über Häufigkeit, Menge und Umstände des Cannabiskonsums und des allfälligen Konsums weiterer Betäubungsmittel und/oder von Alkohol, sowie zu seiner Persönlichkeit, insbesondere hinsichtlich Drogenmissbrauch im Strassenverkehr, nicht beurteilt werden ( BGE 124 II 559 BGE 128 II 335 S. 338 E. 4e und 5a). Ein die momentane Fahrfähigkeit beeinträchtigender Cannabiskonsum kann hingegen Anlass bieten, die generelle Fahreignung des Betroffenen durch ein Fachgutachten näher abklären zu lassen ( BGE 127 II 122 E. 4b mit Hinweis). c) Im konkreten Fall war die momentane Fahrfähigkeit des Beschwerdeführers durch übermässigen Konsum von Alkohol in Kombination mit Betäubungsmitteln beeinträchtigt. Der Beschwerdegegner konsumierte nach eigenen Angaben am fraglichen Tag nach 9 dl Bier und 1 dl Champagner einen Joint, dies im Wissen darum, dass er nachher noch bzw. wieder ein Motorfahrzeug führen würde. Zudem war er bereits 22 Monate vorher wegen Fahrens in angetrunkenem Zustand angehalten worden, weshalb ihm der Führerausweis für die Dauer von zwei Monaten entzogen worden war. Auch wegen Verstosses gegen das Betäubungsmittelgesetz war er zuvor schon verzeigt worden. Zudem hatte er anlässlich der polizeilichen Ermittlungen im Zusammenhang mit seinen Verfehlungen vom 18. Februar 2001 eingestanden, seit ungefähr einem Jahr täglich Marihuana zu konsumieren, pro Monat ca. 30 Joints, d.h. rund 15 g Marihuana. Die chemisch-toxikologischen Untersuchungen des IRM stellten über die vom Beschwerdegegner angegebenen Drogen hinaus den Konsum weiterer Drogen (Amphetamin, MDMA) fest. Im Weiteren wurde im Gutachten der Verdacht auf eine starke Gewöhnung des Beschwerdegegners an die konsumierten Drogen geäussert und abschliessend dringend eine Überprüfung seiner Fahreignung durch die Administrativbehörde empfohlen. Dass die Administrativbehörde aufgrund der ihr im Juni 2001 bekannten Umstände - vom bzw. von den zwei Gutachten des IRM hat sie wohl erst nach Zustellung der Strafakten Mitte Juli 2001 erfahren - abklären liess, ob der Beschwerdegegner drogenabhängig sei, ist selbstredend nicht zu beanstanden. Wenn das Strassenverkehrs- und Schifffahrtsamt aber eine solche Abklärung für erforderlich hielt, hätte es, wie das beschwerdeführende Amt zu Recht geltend macht, sich nicht mit dieser ärztlichen Bestätigung begnügen dürfen. Der Hausarzt machte darin insbesondere keine Angaben darüber, seit wann der Beschwerdegegner von ihm betreut worden war (Frage 1 auf dem Formular). Zudem hätte dem Amt auffallen müssen, dass auf dem vorgedruckten Formular "Ärztliches Zeugnis betr. Fahreignung nach Drogenkonsum" auch die Frage nach der Fahreignung unbeantwortet blieb. Erst recht hätte das Strassenverkehrs- und Schifffahrtsamt nach Erhalt des IRM-Gutachtens vom 10. April 2001 betreffend die chemisch-toxikologischen Untersuchungen BGE 128 II 335 S. 339 Anlass genug gehabt, an der Fahreignung des Beschwerdegegners ernsthaft zu zweifeln und der dringenden Empfehlung des IRM zur Einholung eines entsprechenden Fachgutachtens nachzukommen. Unter den oben genannten Umständen erweisen sich die Abklärungen der Administrativbehörden als offensichtlich unvollständig. Nicht erst die Vorinstanz, sondern schon das Strassenverkehrs- und Schifffahrtsamt hätte ein verkehrsmedizinisches und -psychologisches Gutachten durch ein spezialisiertes Institut anordnen müssen - dies spätestens nach Erhalt des Gutachtens des IRM vom 10. April 2001 durch die Zustellung der Strafakten Mitte Juli 2001. Zu diesem Zeitpunkt hätte es auch unverzüglich prüfen müssen, ob die Voraussetzungen für die vorsorgliche Abnahme des Führerausweises gegeben gewesen wären. Indem sowohl das Strassenverkehrs- und Schifffahrtsamt als auch die Vorinstanz auf die Einholung eines Fachgutachtens verzichteten, haben sie ihre Ermittlungspflicht verletzt (vgl. BGE 127 II 122 E. 4b; BGE 120 Ib 305 E. 4d und 5a). Die Beschwerde erweist sich somit als begründet. d) Die Dauer des Warnungsentzugs von fünfzehn Monaten ist unbestritten. Sollte die Abklärung des Sachverständigen ergeben, dass beim Beschwerdegegner kein Eignungsmangel vorliegt und deshalb ein Sicherungsentzug nicht erforderlich ist, bleibt es beim angefochtenen Entscheid.</w:t>
      </w:r>
    </w:p>
    <w:p>
      <w:r>
        <w:rPr>
          <w:b/>
        </w:rPr>
        <w:t>E. 5</w:t>
      </w:r>
    </w:p>
    <w:p>
      <w:r>
        <w:t>Die Abklärungen der Vorinstanz sind unvollständig. Dies führt, wenn das Bundesgericht nicht selbst in der Sache entscheidet, zur Aufhebung und Rückweisung der Sache. (...)</w:t>
      </w:r>
    </w:p>
    <w:p>
      <w:r>
        <w:rPr>
          <w:b/>
        </w:rPr>
        <w:t>E. 6</w:t>
      </w:r>
    </w:p>
    <w:p>
      <w:r>
        <w:t>Im Hinblick auf die in solchen oder ähnlichen Fällen notwendige Koordinierung der Tätigkeit der Strafverfolgungsbehörden einerseits und der Führerausweisentzugsbehörden andererseits sollte der Kanton Bern dafür besorgt sein, dass zukünftig die vom IRM im Auftrag der Strafverfolgungsbehörden erstellten Gutachten unverzüglich an das Strassenverkehrs- und Schifffahrtsamt weitergeleitet werden. Darüber hinaus wird das Bundesamt für Strassen (ASTRA) eingeladen, den Erlass entsprechender Empfehlungen zuhanden aller Kantone zu prüfen.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